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75" w:rsidRPr="002C6824" w:rsidRDefault="001F6B75" w:rsidP="001F6B75">
      <w:pPr>
        <w:rPr>
          <w:rFonts w:asciiTheme="majorHAnsi" w:hAnsiTheme="majorHAnsi"/>
          <w:b/>
          <w:i/>
          <w:color w:val="1F497D" w:themeColor="text2"/>
          <w:sz w:val="28"/>
          <w:szCs w:val="28"/>
        </w:rPr>
      </w:pPr>
      <w:r w:rsidRPr="002C6824">
        <w:rPr>
          <w:rFonts w:asciiTheme="majorHAnsi" w:hAnsiTheme="majorHAnsi"/>
          <w:b/>
          <w:i/>
          <w:color w:val="1F497D" w:themeColor="text2"/>
          <w:sz w:val="28"/>
          <w:szCs w:val="28"/>
        </w:rPr>
        <w:t xml:space="preserve">Lilly Theological School Initiative to Address Economic Challenges Facing Future Ministers </w:t>
      </w:r>
      <w:r w:rsidR="00E92BE8">
        <w:rPr>
          <w:rFonts w:asciiTheme="majorHAnsi" w:hAnsiTheme="majorHAnsi"/>
          <w:b/>
          <w:i/>
          <w:color w:val="1F497D" w:themeColor="text2"/>
          <w:sz w:val="28"/>
          <w:szCs w:val="28"/>
        </w:rPr>
        <w:t xml:space="preserve">| </w:t>
      </w:r>
      <w:r w:rsidRPr="002C6824">
        <w:rPr>
          <w:rFonts w:asciiTheme="majorHAnsi" w:hAnsiTheme="majorHAnsi"/>
          <w:b/>
          <w:i/>
          <w:color w:val="1F497D" w:themeColor="text2"/>
          <w:sz w:val="28"/>
          <w:szCs w:val="28"/>
        </w:rPr>
        <w:t xml:space="preserve">Pittsburgh, PA – </w:t>
      </w:r>
      <w:r w:rsidR="00E53C85">
        <w:rPr>
          <w:rFonts w:asciiTheme="majorHAnsi" w:hAnsiTheme="majorHAnsi"/>
          <w:b/>
          <w:i/>
          <w:color w:val="1F497D" w:themeColor="text2"/>
          <w:sz w:val="28"/>
          <w:szCs w:val="28"/>
        </w:rPr>
        <w:t>April 6-8, 2014</w:t>
      </w:r>
    </w:p>
    <w:p w:rsidR="00E53C85" w:rsidRPr="002C6824" w:rsidRDefault="00E53C85" w:rsidP="001F6B75">
      <w:pPr>
        <w:rPr>
          <w:rFonts w:asciiTheme="majorHAnsi" w:hAnsiTheme="majorHAnsi"/>
          <w:color w:val="1F497D" w:themeColor="text2"/>
        </w:rPr>
      </w:pPr>
    </w:p>
    <w:p w:rsidR="00E53C85" w:rsidRPr="00E53C85" w:rsidRDefault="00E53C85" w:rsidP="00E53C85">
      <w:pPr>
        <w:jc w:val="center"/>
        <w:rPr>
          <w:rFonts w:asciiTheme="majorHAnsi" w:hAnsiTheme="majorHAnsi"/>
          <w:b/>
          <w:sz w:val="28"/>
          <w:szCs w:val="27"/>
        </w:rPr>
      </w:pPr>
      <w:r w:rsidRPr="00E53C85">
        <w:rPr>
          <w:rFonts w:asciiTheme="majorHAnsi" w:hAnsiTheme="majorHAnsi"/>
          <w:b/>
          <w:sz w:val="28"/>
          <w:szCs w:val="27"/>
        </w:rPr>
        <w:t>Asbury Theological Seminary’s Six-Point Plan to</w:t>
      </w:r>
    </w:p>
    <w:p w:rsidR="00E92BE8" w:rsidRPr="00E53C85" w:rsidRDefault="00E53C85" w:rsidP="00E53C85">
      <w:pPr>
        <w:jc w:val="center"/>
        <w:rPr>
          <w:rFonts w:asciiTheme="majorHAnsi" w:hAnsiTheme="majorHAnsi"/>
          <w:b/>
          <w:sz w:val="28"/>
          <w:szCs w:val="27"/>
        </w:rPr>
      </w:pPr>
      <w:r w:rsidRPr="00E53C85">
        <w:rPr>
          <w:rFonts w:asciiTheme="majorHAnsi" w:hAnsiTheme="majorHAnsi"/>
          <w:b/>
          <w:sz w:val="28"/>
          <w:szCs w:val="27"/>
        </w:rPr>
        <w:t>Reduce Student Indebtedness</w:t>
      </w:r>
    </w:p>
    <w:p w:rsidR="00E53C85" w:rsidRDefault="00E53C85" w:rsidP="00E53C85">
      <w:pPr>
        <w:jc w:val="center"/>
        <w:rPr>
          <w:rFonts w:asciiTheme="majorHAnsi" w:hAnsiTheme="majorHAnsi"/>
          <w:b/>
        </w:rPr>
      </w:pPr>
    </w:p>
    <w:p w:rsidR="00C577F3" w:rsidRPr="002C6824" w:rsidRDefault="00C577F3" w:rsidP="00E53C85">
      <w:pPr>
        <w:jc w:val="center"/>
        <w:rPr>
          <w:rFonts w:asciiTheme="majorHAnsi" w:hAnsiTheme="majorHAnsi"/>
          <w:b/>
        </w:rPr>
      </w:pPr>
    </w:p>
    <w:p w:rsidR="001F6B75" w:rsidRPr="006B3C76" w:rsidRDefault="000A384C" w:rsidP="001F6B75">
      <w:pPr>
        <w:rPr>
          <w:rFonts w:asciiTheme="majorHAnsi" w:hAnsiTheme="majorHAnsi"/>
          <w:b/>
          <w:u w:val="single"/>
        </w:rPr>
      </w:pPr>
      <w:r w:rsidRPr="006B3C76">
        <w:rPr>
          <w:rFonts w:asciiTheme="majorHAnsi" w:hAnsiTheme="majorHAnsi"/>
          <w:b/>
          <w:u w:val="single"/>
        </w:rPr>
        <w:t>Key Objectives</w:t>
      </w:r>
    </w:p>
    <w:p w:rsidR="001F6B75" w:rsidRPr="002C6824" w:rsidRDefault="001F6B75" w:rsidP="001F6B75">
      <w:pPr>
        <w:rPr>
          <w:rFonts w:asciiTheme="majorHAnsi" w:hAnsiTheme="majorHAnsi"/>
          <w:b/>
        </w:rPr>
      </w:pPr>
    </w:p>
    <w:p w:rsidR="000A384C" w:rsidRPr="000A384C" w:rsidRDefault="000A384C" w:rsidP="000A384C">
      <w:pPr>
        <w:rPr>
          <w:rFonts w:asciiTheme="majorHAnsi" w:hAnsiTheme="majorHAnsi"/>
        </w:rPr>
      </w:pPr>
      <w:r w:rsidRPr="000A384C">
        <w:rPr>
          <w:rFonts w:asciiTheme="majorHAnsi" w:hAnsiTheme="majorHAnsi"/>
        </w:rPr>
        <w:t>The overall goal of this project is to reduce student debt and ensure sustainable institution</w:t>
      </w:r>
      <w:r>
        <w:rPr>
          <w:rFonts w:asciiTheme="majorHAnsi" w:hAnsiTheme="majorHAnsi"/>
        </w:rPr>
        <w:t>al strength.  Asbury Seminary has adopted a</w:t>
      </w:r>
      <w:r w:rsidR="00EC57B0">
        <w:rPr>
          <w:rFonts w:asciiTheme="majorHAnsi" w:hAnsiTheme="majorHAnsi"/>
        </w:rPr>
        <w:t xml:space="preserve"> S</w:t>
      </w:r>
      <w:r>
        <w:rPr>
          <w:rFonts w:asciiTheme="majorHAnsi" w:hAnsiTheme="majorHAnsi"/>
        </w:rPr>
        <w:t>ix-</w:t>
      </w:r>
      <w:r w:rsidR="00EC57B0">
        <w:rPr>
          <w:rFonts w:asciiTheme="majorHAnsi" w:hAnsiTheme="majorHAnsi"/>
        </w:rPr>
        <w:t>P</w:t>
      </w:r>
      <w:r>
        <w:rPr>
          <w:rFonts w:asciiTheme="majorHAnsi" w:hAnsiTheme="majorHAnsi"/>
        </w:rPr>
        <w:t xml:space="preserve">oint </w:t>
      </w:r>
      <w:r w:rsidR="00EC57B0">
        <w:rPr>
          <w:rFonts w:asciiTheme="majorHAnsi" w:hAnsiTheme="majorHAnsi"/>
        </w:rPr>
        <w:t>P</w:t>
      </w:r>
      <w:r>
        <w:rPr>
          <w:rFonts w:asciiTheme="majorHAnsi" w:hAnsiTheme="majorHAnsi"/>
        </w:rPr>
        <w:t>lan</w:t>
      </w:r>
      <w:r w:rsidRPr="000A384C">
        <w:rPr>
          <w:rFonts w:asciiTheme="majorHAnsi" w:hAnsiTheme="majorHAnsi"/>
        </w:rPr>
        <w:t xml:space="preserve"> using a three-year, multi-campus initiative to address student indebtedness, to understand the financial issues impacting students and their ministries, to create institutional efficiencies resulting in cost reductions, to explore new partnerships with undergraduate institutions, to re-imagine old delivery models, and to prepare and educate students for ministry worldwide.</w:t>
      </w:r>
    </w:p>
    <w:p w:rsidR="000A384C" w:rsidRPr="000A384C" w:rsidRDefault="000A384C" w:rsidP="000A384C">
      <w:pPr>
        <w:rPr>
          <w:rFonts w:asciiTheme="majorHAnsi" w:hAnsiTheme="majorHAnsi"/>
        </w:rPr>
      </w:pPr>
    </w:p>
    <w:p w:rsidR="001F6B75" w:rsidRPr="002C6824" w:rsidRDefault="001F6B75" w:rsidP="001F6B75">
      <w:pPr>
        <w:rPr>
          <w:rFonts w:asciiTheme="majorHAnsi" w:hAnsiTheme="majorHAnsi"/>
        </w:rPr>
      </w:pPr>
      <w:r w:rsidRPr="002C6824">
        <w:rPr>
          <w:rFonts w:asciiTheme="majorHAnsi" w:hAnsiTheme="majorHAnsi"/>
        </w:rPr>
        <w:t xml:space="preserve">With </w:t>
      </w:r>
      <w:r w:rsidR="000A384C">
        <w:rPr>
          <w:rFonts w:asciiTheme="majorHAnsi" w:hAnsiTheme="majorHAnsi"/>
        </w:rPr>
        <w:t>that in mind, Asbury Seminary</w:t>
      </w:r>
      <w:r w:rsidRPr="002C6824">
        <w:rPr>
          <w:rFonts w:asciiTheme="majorHAnsi" w:hAnsiTheme="majorHAnsi"/>
        </w:rPr>
        <w:t xml:space="preserve"> </w:t>
      </w:r>
      <w:r w:rsidR="000A384C">
        <w:rPr>
          <w:rFonts w:asciiTheme="majorHAnsi" w:hAnsiTheme="majorHAnsi"/>
        </w:rPr>
        <w:t>continues to focus</w:t>
      </w:r>
      <w:r w:rsidRPr="002C6824">
        <w:rPr>
          <w:rFonts w:asciiTheme="majorHAnsi" w:hAnsiTheme="majorHAnsi"/>
        </w:rPr>
        <w:t xml:space="preserve"> on six </w:t>
      </w:r>
      <w:r w:rsidR="000A384C">
        <w:rPr>
          <w:rFonts w:asciiTheme="majorHAnsi" w:hAnsiTheme="majorHAnsi"/>
        </w:rPr>
        <w:t xml:space="preserve">key </w:t>
      </w:r>
      <w:r w:rsidRPr="002C6824">
        <w:rPr>
          <w:rFonts w:asciiTheme="majorHAnsi" w:hAnsiTheme="majorHAnsi"/>
        </w:rPr>
        <w:t>strategies to create long-term, sustainable institutional change.  The Six-Point Plan seeks to answer four framing questions:</w:t>
      </w:r>
    </w:p>
    <w:p w:rsidR="002A3830" w:rsidRDefault="002A3830"/>
    <w:tbl>
      <w:tblPr>
        <w:tblStyle w:val="TableGrid"/>
        <w:tblW w:w="0" w:type="auto"/>
        <w:jc w:val="center"/>
        <w:tblLook w:val="04A0" w:firstRow="1" w:lastRow="0" w:firstColumn="1" w:lastColumn="0" w:noHBand="0" w:noVBand="1"/>
      </w:tblPr>
      <w:tblGrid>
        <w:gridCol w:w="1458"/>
        <w:gridCol w:w="8118"/>
      </w:tblGrid>
      <w:tr w:rsidR="001F6B75" w:rsidRPr="001F6B75" w:rsidTr="00E92BE8">
        <w:trPr>
          <w:jc w:val="center"/>
        </w:trPr>
        <w:tc>
          <w:tcPr>
            <w:tcW w:w="9576" w:type="dxa"/>
            <w:gridSpan w:val="2"/>
            <w:shd w:val="clear" w:color="auto" w:fill="000000" w:themeFill="text1"/>
            <w:vAlign w:val="center"/>
          </w:tcPr>
          <w:p w:rsidR="001F6B75" w:rsidRPr="001F6B75" w:rsidRDefault="001F6B75" w:rsidP="001F6B75">
            <w:pPr>
              <w:spacing w:line="360" w:lineRule="auto"/>
              <w:jc w:val="center"/>
              <w:rPr>
                <w:rFonts w:asciiTheme="majorHAnsi" w:hAnsiTheme="majorHAnsi"/>
                <w:sz w:val="28"/>
              </w:rPr>
            </w:pPr>
            <w:r w:rsidRPr="001F6B75">
              <w:rPr>
                <w:rFonts w:asciiTheme="majorHAnsi" w:hAnsiTheme="majorHAnsi"/>
                <w:sz w:val="10"/>
              </w:rPr>
              <w:br/>
            </w:r>
            <w:r w:rsidRPr="001F6B75">
              <w:rPr>
                <w:rFonts w:asciiTheme="majorHAnsi" w:hAnsiTheme="majorHAnsi"/>
                <w:sz w:val="28"/>
              </w:rPr>
              <w:t>Four Framing Questions of the Six-Point Plan</w:t>
            </w:r>
          </w:p>
        </w:tc>
      </w:tr>
      <w:tr w:rsidR="001F6B75" w:rsidRPr="001F6B75" w:rsidTr="00E92BE8">
        <w:trPr>
          <w:jc w:val="center"/>
        </w:trPr>
        <w:tc>
          <w:tcPr>
            <w:tcW w:w="1458" w:type="dxa"/>
            <w:shd w:val="clear" w:color="auto" w:fill="808080" w:themeFill="background1" w:themeFillShade="80"/>
            <w:vAlign w:val="center"/>
          </w:tcPr>
          <w:p w:rsidR="001F6B75" w:rsidRPr="001F6B75" w:rsidRDefault="001F6B75" w:rsidP="002C6824">
            <w:pPr>
              <w:jc w:val="center"/>
              <w:rPr>
                <w:rFonts w:asciiTheme="majorHAnsi" w:hAnsiTheme="majorHAnsi"/>
              </w:rPr>
            </w:pPr>
            <w:r w:rsidRPr="001F6B75">
              <w:rPr>
                <w:rFonts w:asciiTheme="majorHAnsi" w:hAnsiTheme="majorHAnsi"/>
                <w:color w:val="FFFFFF" w:themeColor="background1"/>
              </w:rPr>
              <w:t>Framing Question 1</w:t>
            </w:r>
          </w:p>
        </w:tc>
        <w:tc>
          <w:tcPr>
            <w:tcW w:w="8118" w:type="dxa"/>
            <w:vAlign w:val="center"/>
          </w:tcPr>
          <w:p w:rsidR="001F6B75" w:rsidRPr="001F6B75" w:rsidRDefault="001F6B75" w:rsidP="002C6824">
            <w:pPr>
              <w:rPr>
                <w:rFonts w:asciiTheme="majorHAnsi" w:hAnsiTheme="majorHAnsi"/>
              </w:rPr>
            </w:pPr>
            <w:r w:rsidRPr="001F6B75">
              <w:rPr>
                <w:rFonts w:asciiTheme="majorHAnsi" w:hAnsiTheme="majorHAnsi"/>
              </w:rPr>
              <w:t>What is the current economic status of Asbury Seminary students and graduates, and how does it impact their ministry and family?</w:t>
            </w:r>
          </w:p>
        </w:tc>
      </w:tr>
      <w:tr w:rsidR="001F6B75" w:rsidRPr="001F6B75" w:rsidTr="00E92BE8">
        <w:trPr>
          <w:jc w:val="center"/>
        </w:trPr>
        <w:tc>
          <w:tcPr>
            <w:tcW w:w="1458" w:type="dxa"/>
            <w:shd w:val="clear" w:color="auto" w:fill="808080" w:themeFill="background1" w:themeFillShade="80"/>
            <w:vAlign w:val="center"/>
          </w:tcPr>
          <w:p w:rsidR="001F6B75" w:rsidRPr="001F6B75" w:rsidRDefault="001F6B75" w:rsidP="001F6B75">
            <w:pPr>
              <w:jc w:val="center"/>
              <w:rPr>
                <w:rFonts w:asciiTheme="majorHAnsi" w:hAnsiTheme="majorHAnsi"/>
                <w:color w:val="FFFFFF" w:themeColor="background1"/>
              </w:rPr>
            </w:pPr>
            <w:r w:rsidRPr="001F6B75">
              <w:rPr>
                <w:rFonts w:asciiTheme="majorHAnsi" w:hAnsiTheme="majorHAnsi"/>
                <w:color w:val="FFFFFF" w:themeColor="background1"/>
              </w:rPr>
              <w:t>Framing Question 2</w:t>
            </w:r>
          </w:p>
        </w:tc>
        <w:tc>
          <w:tcPr>
            <w:tcW w:w="8118" w:type="dxa"/>
          </w:tcPr>
          <w:p w:rsidR="001F6B75" w:rsidRPr="001F6B75" w:rsidRDefault="001F6B75" w:rsidP="001F6B75">
            <w:pPr>
              <w:tabs>
                <w:tab w:val="left" w:pos="1620"/>
              </w:tabs>
              <w:rPr>
                <w:rFonts w:asciiTheme="majorHAnsi" w:hAnsiTheme="majorHAnsi"/>
              </w:rPr>
            </w:pPr>
            <w:r w:rsidRPr="001F6B75">
              <w:rPr>
                <w:rFonts w:asciiTheme="majorHAnsi" w:hAnsiTheme="majorHAnsi"/>
              </w:rPr>
              <w:t>Does Asbury Seminary have implicit and explicit policies, practices, structures, and expectations that increase student debt load? If so, what institutional changes must occur?</w:t>
            </w:r>
            <w:r w:rsidRPr="001F6B75">
              <w:rPr>
                <w:rFonts w:asciiTheme="majorHAnsi" w:hAnsiTheme="majorHAnsi"/>
              </w:rPr>
              <w:tab/>
            </w:r>
          </w:p>
        </w:tc>
      </w:tr>
      <w:tr w:rsidR="001F6B75" w:rsidRPr="001F6B75" w:rsidTr="00E92BE8">
        <w:trPr>
          <w:jc w:val="center"/>
        </w:trPr>
        <w:tc>
          <w:tcPr>
            <w:tcW w:w="1458" w:type="dxa"/>
            <w:shd w:val="clear" w:color="auto" w:fill="808080" w:themeFill="background1" w:themeFillShade="80"/>
            <w:vAlign w:val="center"/>
          </w:tcPr>
          <w:p w:rsidR="001F6B75" w:rsidRPr="001F6B75" w:rsidRDefault="001F6B75" w:rsidP="001F6B75">
            <w:pPr>
              <w:jc w:val="center"/>
              <w:rPr>
                <w:rFonts w:asciiTheme="majorHAnsi" w:hAnsiTheme="majorHAnsi"/>
                <w:color w:val="FFFFFF" w:themeColor="background1"/>
              </w:rPr>
            </w:pPr>
            <w:r w:rsidRPr="001F6B75">
              <w:rPr>
                <w:rFonts w:asciiTheme="majorHAnsi" w:hAnsiTheme="majorHAnsi"/>
                <w:color w:val="FFFFFF" w:themeColor="background1"/>
              </w:rPr>
              <w:t>Framing Question 3</w:t>
            </w:r>
          </w:p>
        </w:tc>
        <w:tc>
          <w:tcPr>
            <w:tcW w:w="8118" w:type="dxa"/>
            <w:vAlign w:val="center"/>
          </w:tcPr>
          <w:p w:rsidR="001F6B75" w:rsidRPr="001F6B75" w:rsidRDefault="001F6B75" w:rsidP="00F72AC1">
            <w:pPr>
              <w:rPr>
                <w:rFonts w:asciiTheme="majorHAnsi" w:hAnsiTheme="majorHAnsi"/>
              </w:rPr>
            </w:pPr>
            <w:r w:rsidRPr="001F6B75">
              <w:rPr>
                <w:rFonts w:asciiTheme="majorHAnsi" w:hAnsiTheme="majorHAnsi"/>
              </w:rPr>
              <w:t>Can non-traditional delivery systems of graduate theological education reduce student debt and meet the academic and formational needs of students training for ministry?</w:t>
            </w:r>
          </w:p>
        </w:tc>
      </w:tr>
      <w:tr w:rsidR="001F6B75" w:rsidRPr="001F6B75" w:rsidTr="00E92BE8">
        <w:trPr>
          <w:jc w:val="center"/>
        </w:trPr>
        <w:tc>
          <w:tcPr>
            <w:tcW w:w="1458" w:type="dxa"/>
            <w:shd w:val="clear" w:color="auto" w:fill="808080" w:themeFill="background1" w:themeFillShade="80"/>
            <w:vAlign w:val="center"/>
          </w:tcPr>
          <w:p w:rsidR="001F6B75" w:rsidRPr="001F6B75" w:rsidRDefault="001F6B75" w:rsidP="001F6B75">
            <w:pPr>
              <w:jc w:val="center"/>
              <w:rPr>
                <w:rFonts w:asciiTheme="majorHAnsi" w:hAnsiTheme="majorHAnsi"/>
                <w:color w:val="FFFFFF" w:themeColor="background1"/>
              </w:rPr>
            </w:pPr>
            <w:r w:rsidRPr="001F6B75">
              <w:rPr>
                <w:rFonts w:asciiTheme="majorHAnsi" w:hAnsiTheme="majorHAnsi"/>
                <w:color w:val="FFFFFF" w:themeColor="background1"/>
              </w:rPr>
              <w:t>Framing Question 4</w:t>
            </w:r>
          </w:p>
        </w:tc>
        <w:tc>
          <w:tcPr>
            <w:tcW w:w="8118" w:type="dxa"/>
            <w:vAlign w:val="center"/>
          </w:tcPr>
          <w:p w:rsidR="001F6B75" w:rsidRPr="001F6B75" w:rsidRDefault="001F6B75" w:rsidP="00F72AC1">
            <w:pPr>
              <w:rPr>
                <w:rFonts w:asciiTheme="majorHAnsi" w:hAnsiTheme="majorHAnsi"/>
              </w:rPr>
            </w:pPr>
            <w:r w:rsidRPr="001F6B75">
              <w:rPr>
                <w:rFonts w:asciiTheme="majorHAnsi" w:hAnsiTheme="majorHAnsi"/>
              </w:rPr>
              <w:t>How does Asbury Seminary best live out its mission to “prepare and educate” students to live financially healthy lives and lead financially healthy ministries?</w:t>
            </w:r>
          </w:p>
        </w:tc>
      </w:tr>
    </w:tbl>
    <w:p w:rsidR="001F6B75" w:rsidRDefault="001F6B75"/>
    <w:p w:rsidR="00E92BE8" w:rsidRDefault="00E92BE8"/>
    <w:p w:rsidR="00AE3775" w:rsidRPr="006B3C76" w:rsidRDefault="000A384C" w:rsidP="00AE3775">
      <w:pPr>
        <w:rPr>
          <w:rFonts w:asciiTheme="majorHAnsi" w:hAnsiTheme="majorHAnsi"/>
          <w:b/>
          <w:u w:val="single"/>
        </w:rPr>
      </w:pPr>
      <w:r w:rsidRPr="006B3C76">
        <w:rPr>
          <w:rFonts w:asciiTheme="majorHAnsi" w:hAnsiTheme="majorHAnsi"/>
          <w:b/>
          <w:u w:val="single"/>
        </w:rPr>
        <w:t xml:space="preserve">Program </w:t>
      </w:r>
      <w:r w:rsidR="0035196D">
        <w:rPr>
          <w:rFonts w:asciiTheme="majorHAnsi" w:hAnsiTheme="majorHAnsi"/>
          <w:b/>
          <w:u w:val="single"/>
        </w:rPr>
        <w:t>Updates: T</w:t>
      </w:r>
      <w:r w:rsidR="00AE3775" w:rsidRPr="006B3C76">
        <w:rPr>
          <w:rFonts w:asciiTheme="majorHAnsi" w:hAnsiTheme="majorHAnsi"/>
          <w:b/>
          <w:u w:val="single"/>
        </w:rPr>
        <w:t xml:space="preserve">he Six-Point Plan </w:t>
      </w:r>
    </w:p>
    <w:p w:rsidR="00AE3775" w:rsidRPr="00E92BE8" w:rsidRDefault="00AE3775" w:rsidP="00AE3775">
      <w:pPr>
        <w:rPr>
          <w:rFonts w:asciiTheme="majorHAnsi" w:hAnsiTheme="majorHAnsi"/>
        </w:rPr>
      </w:pPr>
    </w:p>
    <w:p w:rsidR="00AE3775" w:rsidRPr="00E92BE8" w:rsidRDefault="00AE3775" w:rsidP="00AE3775">
      <w:pPr>
        <w:rPr>
          <w:rFonts w:asciiTheme="majorHAnsi" w:hAnsiTheme="majorHAnsi"/>
          <w:b/>
          <w:i/>
        </w:rPr>
      </w:pPr>
      <w:r w:rsidRPr="00E92BE8">
        <w:rPr>
          <w:rFonts w:asciiTheme="majorHAnsi" w:hAnsiTheme="majorHAnsi"/>
          <w:b/>
          <w:i/>
        </w:rPr>
        <w:t>Strategy 1: Hire a Project Manager to implement the plan</w:t>
      </w:r>
    </w:p>
    <w:p w:rsidR="00E92BE8" w:rsidRDefault="00DB53DE" w:rsidP="00AE3775">
      <w:pPr>
        <w:rPr>
          <w:rFonts w:asciiTheme="majorHAnsi" w:hAnsiTheme="majorHAnsi"/>
        </w:rPr>
      </w:pPr>
      <w:r>
        <w:rPr>
          <w:rFonts w:asciiTheme="majorHAnsi" w:hAnsiTheme="majorHAnsi"/>
        </w:rPr>
        <w:t xml:space="preserve">In July 2013, the role of Project Manager was filled. The responsibilities of this position are divided into two categories: daily oversight and special projects.  Daily oversight of the </w:t>
      </w:r>
      <w:r w:rsidR="005746CB">
        <w:rPr>
          <w:rFonts w:asciiTheme="majorHAnsi" w:hAnsiTheme="majorHAnsi"/>
        </w:rPr>
        <w:t>program’s</w:t>
      </w:r>
      <w:r>
        <w:rPr>
          <w:rFonts w:asciiTheme="majorHAnsi" w:hAnsiTheme="majorHAnsi"/>
        </w:rPr>
        <w:t xml:space="preserve"> progress is managed by the Executive Assistant to the Vice President for Enrollment Management. When necessary, additional assistance is provided </w:t>
      </w:r>
      <w:r w:rsidR="00A933E9">
        <w:rPr>
          <w:rFonts w:asciiTheme="majorHAnsi" w:hAnsiTheme="majorHAnsi"/>
        </w:rPr>
        <w:t xml:space="preserve">on special projects </w:t>
      </w:r>
      <w:r>
        <w:rPr>
          <w:rFonts w:asciiTheme="majorHAnsi" w:hAnsiTheme="majorHAnsi"/>
        </w:rPr>
        <w:t>by the Campus Visitation Coordinator.</w:t>
      </w:r>
      <w:r w:rsidR="000A384C" w:rsidRPr="000A384C">
        <w:rPr>
          <w:rFonts w:asciiTheme="majorHAnsi" w:hAnsiTheme="majorHAnsi"/>
        </w:rPr>
        <w:t xml:space="preserve"> </w:t>
      </w:r>
      <w:r>
        <w:rPr>
          <w:rFonts w:asciiTheme="majorHAnsi" w:hAnsiTheme="majorHAnsi"/>
        </w:rPr>
        <w:t xml:space="preserve"> </w:t>
      </w:r>
    </w:p>
    <w:p w:rsidR="00E92BE8" w:rsidRDefault="00E92BE8" w:rsidP="00AE3775">
      <w:pPr>
        <w:rPr>
          <w:rFonts w:asciiTheme="majorHAnsi" w:hAnsiTheme="majorHAnsi"/>
        </w:rPr>
      </w:pPr>
    </w:p>
    <w:p w:rsidR="00AE3775" w:rsidRPr="00E92BE8" w:rsidRDefault="00AE3775" w:rsidP="00AE3775">
      <w:pPr>
        <w:rPr>
          <w:rFonts w:asciiTheme="majorHAnsi" w:hAnsiTheme="majorHAnsi"/>
        </w:rPr>
      </w:pPr>
      <w:r w:rsidRPr="00E92BE8">
        <w:rPr>
          <w:rFonts w:asciiTheme="majorHAnsi" w:hAnsiTheme="majorHAnsi"/>
          <w:b/>
          <w:i/>
        </w:rPr>
        <w:t>Strategy 2: Analyze the financial impact of seminary education and student debt on the personal, familial, and ministerial well-being of students and alumni</w:t>
      </w:r>
    </w:p>
    <w:p w:rsidR="00AE3775" w:rsidRPr="00E92BE8" w:rsidRDefault="00AE3775" w:rsidP="00B33A51">
      <w:pPr>
        <w:ind w:left="720"/>
        <w:rPr>
          <w:rFonts w:asciiTheme="majorHAnsi" w:hAnsiTheme="majorHAnsi"/>
        </w:rPr>
      </w:pPr>
      <w:r w:rsidRPr="00E92BE8">
        <w:rPr>
          <w:rFonts w:asciiTheme="majorHAnsi" w:hAnsiTheme="majorHAnsi"/>
        </w:rPr>
        <w:t xml:space="preserve">2.1: </w:t>
      </w:r>
      <w:r w:rsidR="00631118">
        <w:rPr>
          <w:rFonts w:asciiTheme="majorHAnsi" w:hAnsiTheme="majorHAnsi"/>
        </w:rPr>
        <w:t xml:space="preserve">Contracted </w:t>
      </w:r>
      <w:r w:rsidR="00502C41">
        <w:rPr>
          <w:rFonts w:asciiTheme="majorHAnsi" w:hAnsiTheme="majorHAnsi"/>
        </w:rPr>
        <w:t xml:space="preserve">with </w:t>
      </w:r>
      <w:r w:rsidR="00631118">
        <w:rPr>
          <w:rFonts w:asciiTheme="majorHAnsi" w:hAnsiTheme="majorHAnsi"/>
        </w:rPr>
        <w:t xml:space="preserve">Learning Road </w:t>
      </w:r>
      <w:proofErr w:type="spellStart"/>
      <w:r w:rsidR="003671C4">
        <w:rPr>
          <w:rFonts w:asciiTheme="majorHAnsi" w:hAnsiTheme="majorHAnsi"/>
        </w:rPr>
        <w:t>i</w:t>
      </w:r>
      <w:r w:rsidR="00631118">
        <w:rPr>
          <w:rFonts w:asciiTheme="majorHAnsi" w:hAnsiTheme="majorHAnsi"/>
        </w:rPr>
        <w:t>Learning</w:t>
      </w:r>
      <w:proofErr w:type="spellEnd"/>
      <w:r w:rsidR="00631118">
        <w:rPr>
          <w:rFonts w:asciiTheme="majorHAnsi" w:hAnsiTheme="majorHAnsi"/>
        </w:rPr>
        <w:t xml:space="preserve"> Services to conduct primary and secondary research addressing the four framing questions of the Six-Point Plan</w:t>
      </w:r>
      <w:r w:rsidR="00502C41">
        <w:rPr>
          <w:rFonts w:asciiTheme="majorHAnsi" w:hAnsiTheme="majorHAnsi"/>
        </w:rPr>
        <w:t>.</w:t>
      </w:r>
    </w:p>
    <w:p w:rsidR="00502C41" w:rsidRDefault="00AE3775" w:rsidP="00502C41">
      <w:pPr>
        <w:ind w:left="720"/>
        <w:rPr>
          <w:rFonts w:asciiTheme="majorHAnsi" w:hAnsiTheme="majorHAnsi"/>
        </w:rPr>
      </w:pPr>
      <w:r w:rsidRPr="00E92BE8">
        <w:rPr>
          <w:rFonts w:asciiTheme="majorHAnsi" w:hAnsiTheme="majorHAnsi"/>
        </w:rPr>
        <w:lastRenderedPageBreak/>
        <w:t xml:space="preserve">2.2: </w:t>
      </w:r>
      <w:r w:rsidR="005746CB">
        <w:rPr>
          <w:rFonts w:asciiTheme="majorHAnsi" w:hAnsiTheme="majorHAnsi"/>
        </w:rPr>
        <w:t>In September 2013, surveys addressing student indebtedness were disseminated to four distinct cohorts: new students (1-18 credit hours), current students (32-64 credit hours), non-matriculated students, and alumni.</w:t>
      </w:r>
    </w:p>
    <w:p w:rsidR="005746CB" w:rsidRPr="00E92BE8" w:rsidRDefault="005746CB" w:rsidP="00502C41">
      <w:pPr>
        <w:ind w:left="720"/>
        <w:rPr>
          <w:rFonts w:asciiTheme="majorHAnsi" w:hAnsiTheme="majorHAnsi"/>
        </w:rPr>
      </w:pPr>
      <w:r>
        <w:rPr>
          <w:rFonts w:asciiTheme="majorHAnsi" w:hAnsiTheme="majorHAnsi"/>
        </w:rPr>
        <w:t xml:space="preserve">2.3: </w:t>
      </w:r>
      <w:r w:rsidR="00AF0382">
        <w:rPr>
          <w:rFonts w:asciiTheme="majorHAnsi" w:hAnsiTheme="majorHAnsi"/>
        </w:rPr>
        <w:t>Learning Road conducted two</w:t>
      </w:r>
      <w:r>
        <w:rPr>
          <w:rFonts w:asciiTheme="majorHAnsi" w:hAnsiTheme="majorHAnsi"/>
        </w:rPr>
        <w:t xml:space="preserve"> site-visit</w:t>
      </w:r>
      <w:r w:rsidR="00AF0382">
        <w:rPr>
          <w:rFonts w:asciiTheme="majorHAnsi" w:hAnsiTheme="majorHAnsi"/>
        </w:rPr>
        <w:t>s</w:t>
      </w:r>
      <w:r>
        <w:rPr>
          <w:rFonts w:asciiTheme="majorHAnsi" w:hAnsiTheme="majorHAnsi"/>
        </w:rPr>
        <w:t xml:space="preserve"> to gather data from current students, faculty, and staff</w:t>
      </w:r>
      <w:r w:rsidR="00AF0382">
        <w:rPr>
          <w:rFonts w:asciiTheme="majorHAnsi" w:hAnsiTheme="majorHAnsi"/>
        </w:rPr>
        <w:t>; they visited the Wilmore Campus in February 2014 and the Florida Dunnam Campus in March 2014.</w:t>
      </w:r>
    </w:p>
    <w:p w:rsidR="00AE3775" w:rsidRPr="00E92BE8" w:rsidRDefault="00AE3775" w:rsidP="00AE3775">
      <w:pPr>
        <w:rPr>
          <w:rFonts w:asciiTheme="majorHAnsi" w:hAnsiTheme="majorHAnsi"/>
        </w:rPr>
      </w:pPr>
    </w:p>
    <w:p w:rsidR="00AE3775" w:rsidRPr="00E92BE8" w:rsidRDefault="00AE3775" w:rsidP="00AE3775">
      <w:pPr>
        <w:rPr>
          <w:rFonts w:asciiTheme="majorHAnsi" w:hAnsiTheme="majorHAnsi"/>
          <w:b/>
          <w:i/>
        </w:rPr>
      </w:pPr>
      <w:r w:rsidRPr="00E92BE8">
        <w:rPr>
          <w:rFonts w:asciiTheme="majorHAnsi" w:hAnsiTheme="majorHAnsi"/>
          <w:b/>
          <w:i/>
        </w:rPr>
        <w:t>Strategy 3: Examine best practices in higher education to strengthen our methodologies</w:t>
      </w:r>
    </w:p>
    <w:p w:rsidR="00AE3775" w:rsidRDefault="00FC70C1" w:rsidP="00B33A51">
      <w:pPr>
        <w:ind w:left="720"/>
        <w:rPr>
          <w:rFonts w:asciiTheme="majorHAnsi" w:hAnsiTheme="majorHAnsi"/>
        </w:rPr>
      </w:pPr>
      <w:r>
        <w:rPr>
          <w:rFonts w:asciiTheme="majorHAnsi" w:hAnsiTheme="majorHAnsi"/>
        </w:rPr>
        <w:t>3.1: As a result of the initial research project, the Advisory Council developed and instituted four</w:t>
      </w:r>
      <w:r w:rsidR="00CD1603">
        <w:rPr>
          <w:rFonts w:asciiTheme="majorHAnsi" w:hAnsiTheme="majorHAnsi"/>
        </w:rPr>
        <w:t xml:space="preserve"> specialized Task Force groups based on Asbury’s</w:t>
      </w:r>
      <w:r>
        <w:rPr>
          <w:rFonts w:asciiTheme="majorHAnsi" w:hAnsiTheme="majorHAnsi"/>
        </w:rPr>
        <w:t xml:space="preserve"> Strategic Enrollment Management Plan (SEMP) </w:t>
      </w:r>
      <w:r w:rsidR="00CD1603">
        <w:rPr>
          <w:rFonts w:asciiTheme="majorHAnsi" w:hAnsiTheme="majorHAnsi"/>
        </w:rPr>
        <w:t xml:space="preserve">and 2023 Strategic </w:t>
      </w:r>
      <w:r w:rsidR="0035196D">
        <w:rPr>
          <w:rFonts w:asciiTheme="majorHAnsi" w:hAnsiTheme="majorHAnsi"/>
        </w:rPr>
        <w:t>Plan</w:t>
      </w:r>
      <w:r w:rsidR="00CD1603">
        <w:rPr>
          <w:rFonts w:asciiTheme="majorHAnsi" w:hAnsiTheme="majorHAnsi"/>
        </w:rPr>
        <w:t>.</w:t>
      </w:r>
    </w:p>
    <w:p w:rsidR="00FC70C1" w:rsidRPr="00E92BE8" w:rsidRDefault="00CD1603" w:rsidP="00AE3775">
      <w:pPr>
        <w:ind w:left="720"/>
        <w:rPr>
          <w:rFonts w:asciiTheme="majorHAnsi" w:hAnsiTheme="majorHAnsi"/>
        </w:rPr>
      </w:pPr>
      <w:r>
        <w:rPr>
          <w:rFonts w:asciiTheme="majorHAnsi" w:hAnsiTheme="majorHAnsi"/>
        </w:rPr>
        <w:t xml:space="preserve">3.2: </w:t>
      </w:r>
      <w:r w:rsidR="00FC70C1" w:rsidRPr="00FC70C1">
        <w:rPr>
          <w:rFonts w:asciiTheme="majorHAnsi" w:hAnsiTheme="majorHAnsi"/>
        </w:rPr>
        <w:t xml:space="preserve">As the project has shifted slightly from the original proposal, </w:t>
      </w:r>
      <w:r>
        <w:rPr>
          <w:rFonts w:asciiTheme="majorHAnsi" w:hAnsiTheme="majorHAnsi"/>
        </w:rPr>
        <w:t>each member</w:t>
      </w:r>
      <w:r w:rsidR="00FC70C1" w:rsidRPr="00FC70C1">
        <w:rPr>
          <w:rFonts w:asciiTheme="majorHAnsi" w:hAnsiTheme="majorHAnsi"/>
        </w:rPr>
        <w:t xml:space="preserve"> of the Advisory Counc</w:t>
      </w:r>
      <w:r>
        <w:rPr>
          <w:rFonts w:asciiTheme="majorHAnsi" w:hAnsiTheme="majorHAnsi"/>
        </w:rPr>
        <w:t>il is serving on one of the SEMP Task F</w:t>
      </w:r>
      <w:r w:rsidR="00FC70C1" w:rsidRPr="00FC70C1">
        <w:rPr>
          <w:rFonts w:asciiTheme="majorHAnsi" w:hAnsiTheme="majorHAnsi"/>
        </w:rPr>
        <w:t>orce groups</w:t>
      </w:r>
      <w:r>
        <w:rPr>
          <w:rFonts w:asciiTheme="majorHAnsi" w:hAnsiTheme="majorHAnsi"/>
        </w:rPr>
        <w:t>: Student Segment, Student Experience, Student Learning, and Economic Model.</w:t>
      </w:r>
    </w:p>
    <w:p w:rsidR="00AE3775" w:rsidRPr="00E92BE8" w:rsidRDefault="00AE3775" w:rsidP="00AE3775">
      <w:pPr>
        <w:rPr>
          <w:rFonts w:asciiTheme="majorHAnsi" w:hAnsiTheme="majorHAnsi"/>
          <w:i/>
        </w:rPr>
      </w:pPr>
    </w:p>
    <w:p w:rsidR="00AE3775" w:rsidRPr="00E92BE8" w:rsidRDefault="00AE3775" w:rsidP="00AE3775">
      <w:pPr>
        <w:rPr>
          <w:rFonts w:asciiTheme="majorHAnsi" w:hAnsiTheme="majorHAnsi"/>
          <w:b/>
          <w:i/>
        </w:rPr>
      </w:pPr>
      <w:r w:rsidRPr="00E92BE8">
        <w:rPr>
          <w:rFonts w:asciiTheme="majorHAnsi" w:hAnsiTheme="majorHAnsi"/>
          <w:b/>
          <w:i/>
        </w:rPr>
        <w:t>Strategy 4: Develop and analyze varying five-year tuition models</w:t>
      </w:r>
    </w:p>
    <w:p w:rsidR="00AE3775" w:rsidRPr="003A601A" w:rsidRDefault="00AE3775" w:rsidP="00AE3775">
      <w:pPr>
        <w:ind w:left="720"/>
        <w:rPr>
          <w:rFonts w:asciiTheme="majorHAnsi" w:hAnsiTheme="majorHAnsi"/>
        </w:rPr>
      </w:pPr>
      <w:r w:rsidRPr="00E92BE8">
        <w:rPr>
          <w:rFonts w:asciiTheme="majorHAnsi" w:hAnsiTheme="majorHAnsi"/>
        </w:rPr>
        <w:t xml:space="preserve">4.1: </w:t>
      </w:r>
      <w:r w:rsidR="00A747CB">
        <w:rPr>
          <w:rFonts w:asciiTheme="majorHAnsi" w:hAnsiTheme="majorHAnsi"/>
        </w:rPr>
        <w:t>After the second round of research is completed</w:t>
      </w:r>
      <w:r w:rsidR="003A601A">
        <w:rPr>
          <w:rFonts w:asciiTheme="majorHAnsi" w:hAnsiTheme="majorHAnsi"/>
        </w:rPr>
        <w:t xml:space="preserve">, </w:t>
      </w:r>
      <w:r w:rsidR="00A747CB">
        <w:rPr>
          <w:rFonts w:asciiTheme="majorHAnsi" w:hAnsiTheme="majorHAnsi"/>
        </w:rPr>
        <w:t xml:space="preserve">Asbury’s </w:t>
      </w:r>
      <w:r w:rsidR="003A601A">
        <w:rPr>
          <w:rFonts w:asciiTheme="majorHAnsi" w:hAnsiTheme="majorHAnsi"/>
        </w:rPr>
        <w:t xml:space="preserve">SEMP Task Force groups will work to develop </w:t>
      </w:r>
      <w:r w:rsidRPr="003671C4">
        <w:rPr>
          <w:rFonts w:asciiTheme="majorHAnsi" w:hAnsiTheme="majorHAnsi"/>
        </w:rPr>
        <w:t>mathematical five-year tuition models to analyze the impact of block and locked tuition, and differential pricing</w:t>
      </w:r>
      <w:r w:rsidR="003A601A">
        <w:rPr>
          <w:rFonts w:asciiTheme="majorHAnsi" w:hAnsiTheme="majorHAnsi"/>
        </w:rPr>
        <w:t>.</w:t>
      </w:r>
    </w:p>
    <w:p w:rsidR="00AE3775" w:rsidRPr="00E92BE8" w:rsidRDefault="00AE3775" w:rsidP="00AE3775">
      <w:pPr>
        <w:rPr>
          <w:rFonts w:asciiTheme="majorHAnsi" w:hAnsiTheme="majorHAnsi"/>
          <w:i/>
        </w:rPr>
      </w:pPr>
    </w:p>
    <w:p w:rsidR="00AE3775" w:rsidRPr="00E92BE8" w:rsidRDefault="00AE3775" w:rsidP="00AE3775">
      <w:pPr>
        <w:rPr>
          <w:rFonts w:asciiTheme="majorHAnsi" w:hAnsiTheme="majorHAnsi"/>
          <w:b/>
          <w:i/>
        </w:rPr>
      </w:pPr>
      <w:r w:rsidRPr="00E92BE8">
        <w:rPr>
          <w:rFonts w:asciiTheme="majorHAnsi" w:hAnsiTheme="majorHAnsi"/>
          <w:b/>
          <w:i/>
        </w:rPr>
        <w:t>Strategy 5: Enhance and expand key delivery systems to increase access and reduce costs</w:t>
      </w:r>
    </w:p>
    <w:p w:rsidR="00AE3775" w:rsidRPr="00E92BE8" w:rsidRDefault="00AE3775" w:rsidP="00F64961">
      <w:pPr>
        <w:ind w:left="720"/>
        <w:rPr>
          <w:rFonts w:asciiTheme="majorHAnsi" w:hAnsiTheme="majorHAnsi"/>
        </w:rPr>
      </w:pPr>
      <w:r w:rsidRPr="00E92BE8">
        <w:rPr>
          <w:rFonts w:asciiTheme="majorHAnsi" w:hAnsiTheme="majorHAnsi"/>
        </w:rPr>
        <w:t xml:space="preserve">5.1: </w:t>
      </w:r>
      <w:r w:rsidR="00F64961">
        <w:rPr>
          <w:rFonts w:asciiTheme="majorHAnsi" w:hAnsiTheme="majorHAnsi"/>
        </w:rPr>
        <w:t>T</w:t>
      </w:r>
      <w:r w:rsidR="00FC70C1">
        <w:rPr>
          <w:rFonts w:asciiTheme="majorHAnsi" w:hAnsiTheme="majorHAnsi"/>
        </w:rPr>
        <w:t>his year, t</w:t>
      </w:r>
      <w:r w:rsidR="00F64961">
        <w:rPr>
          <w:rFonts w:asciiTheme="majorHAnsi" w:hAnsiTheme="majorHAnsi"/>
        </w:rPr>
        <w:t xml:space="preserve">he Asbury extension site </w:t>
      </w:r>
      <w:r w:rsidR="00F64961" w:rsidRPr="00F64961">
        <w:rPr>
          <w:rFonts w:asciiTheme="majorHAnsi" w:hAnsiTheme="majorHAnsi"/>
        </w:rPr>
        <w:t xml:space="preserve">program </w:t>
      </w:r>
      <w:r w:rsidR="00FC70C1">
        <w:rPr>
          <w:rFonts w:asciiTheme="majorHAnsi" w:hAnsiTheme="majorHAnsi"/>
        </w:rPr>
        <w:t>was</w:t>
      </w:r>
      <w:r w:rsidR="00F64961" w:rsidRPr="00F64961">
        <w:rPr>
          <w:rFonts w:asciiTheme="majorHAnsi" w:hAnsiTheme="majorHAnsi"/>
        </w:rPr>
        <w:t xml:space="preserve"> l</w:t>
      </w:r>
      <w:r w:rsidR="002930D9">
        <w:rPr>
          <w:rFonts w:asciiTheme="majorHAnsi" w:hAnsiTheme="majorHAnsi"/>
        </w:rPr>
        <w:t>aunched in a new hybrid model to analyze the use and effectiveness of an innovative delivery system</w:t>
      </w:r>
      <w:r w:rsidR="00F64961" w:rsidRPr="00F64961">
        <w:rPr>
          <w:rFonts w:asciiTheme="majorHAnsi" w:hAnsiTheme="majorHAnsi"/>
        </w:rPr>
        <w:t>.</w:t>
      </w:r>
    </w:p>
    <w:p w:rsidR="00AE3775" w:rsidRPr="00E92BE8" w:rsidRDefault="00AE3775" w:rsidP="00AE3775">
      <w:pPr>
        <w:rPr>
          <w:rFonts w:asciiTheme="majorHAnsi" w:hAnsiTheme="majorHAnsi"/>
        </w:rPr>
      </w:pPr>
    </w:p>
    <w:p w:rsidR="00AE3775" w:rsidRPr="00E92BE8" w:rsidRDefault="00AE3775" w:rsidP="00AE3775">
      <w:pPr>
        <w:rPr>
          <w:rFonts w:asciiTheme="majorHAnsi" w:hAnsiTheme="majorHAnsi"/>
          <w:b/>
          <w:i/>
        </w:rPr>
      </w:pPr>
      <w:r w:rsidRPr="00E92BE8">
        <w:rPr>
          <w:rFonts w:asciiTheme="majorHAnsi" w:hAnsiTheme="majorHAnsi"/>
          <w:b/>
          <w:i/>
        </w:rPr>
        <w:t>Strategy 6: Develop a robust institutional financial literacy education program</w:t>
      </w:r>
    </w:p>
    <w:p w:rsidR="00AE3775" w:rsidRPr="00E92BE8" w:rsidRDefault="00AE3775" w:rsidP="00AE3775">
      <w:pPr>
        <w:ind w:left="720"/>
        <w:rPr>
          <w:rFonts w:asciiTheme="majorHAnsi" w:hAnsiTheme="majorHAnsi"/>
        </w:rPr>
      </w:pPr>
      <w:r w:rsidRPr="00E92BE8">
        <w:rPr>
          <w:rFonts w:asciiTheme="majorHAnsi" w:hAnsiTheme="majorHAnsi"/>
        </w:rPr>
        <w:t xml:space="preserve">6.1: </w:t>
      </w:r>
      <w:r w:rsidR="000E4501">
        <w:rPr>
          <w:rFonts w:asciiTheme="majorHAnsi" w:hAnsiTheme="majorHAnsi"/>
        </w:rPr>
        <w:t>Upon completing the second round of research, Asbury Seminary will work to p</w:t>
      </w:r>
      <w:r w:rsidRPr="003671C4">
        <w:rPr>
          <w:rFonts w:asciiTheme="majorHAnsi" w:hAnsiTheme="majorHAnsi"/>
        </w:rPr>
        <w:t>rovide a comprehensive Student Financial Planning session during New Student Orientatio</w:t>
      </w:r>
      <w:r w:rsidRPr="000E4501">
        <w:rPr>
          <w:rFonts w:asciiTheme="majorHAnsi" w:hAnsiTheme="majorHAnsi"/>
        </w:rPr>
        <w:t>n</w:t>
      </w:r>
      <w:r w:rsidR="000E4501" w:rsidRPr="000E4501">
        <w:rPr>
          <w:rFonts w:asciiTheme="majorHAnsi" w:hAnsiTheme="majorHAnsi"/>
        </w:rPr>
        <w:t>.</w:t>
      </w:r>
    </w:p>
    <w:p w:rsidR="00AE3775" w:rsidRPr="00E92BE8" w:rsidRDefault="00AE3775" w:rsidP="0035196D">
      <w:pPr>
        <w:ind w:left="720"/>
        <w:rPr>
          <w:rFonts w:asciiTheme="majorHAnsi" w:hAnsiTheme="majorHAnsi"/>
        </w:rPr>
      </w:pPr>
      <w:r w:rsidRPr="00E92BE8">
        <w:rPr>
          <w:rFonts w:asciiTheme="majorHAnsi" w:hAnsiTheme="majorHAnsi"/>
        </w:rPr>
        <w:t xml:space="preserve">6.2: </w:t>
      </w:r>
      <w:r w:rsidR="000E4501">
        <w:rPr>
          <w:rFonts w:asciiTheme="majorHAnsi" w:hAnsiTheme="majorHAnsi"/>
        </w:rPr>
        <w:t>Additionally, the institution will c</w:t>
      </w:r>
      <w:r w:rsidRPr="003671C4">
        <w:rPr>
          <w:rFonts w:asciiTheme="majorHAnsi" w:hAnsiTheme="majorHAnsi"/>
        </w:rPr>
        <w:t>onduct a three-year financial literacy program for students and spouse</w:t>
      </w:r>
      <w:r w:rsidRPr="000E4501">
        <w:rPr>
          <w:rFonts w:asciiTheme="majorHAnsi" w:hAnsiTheme="majorHAnsi"/>
        </w:rPr>
        <w:t>s</w:t>
      </w:r>
      <w:r w:rsidR="000E4501" w:rsidRPr="000E4501">
        <w:rPr>
          <w:rFonts w:asciiTheme="majorHAnsi" w:hAnsiTheme="majorHAnsi"/>
        </w:rPr>
        <w:t>.</w:t>
      </w:r>
    </w:p>
    <w:p w:rsidR="0035196D" w:rsidRDefault="0035196D" w:rsidP="00AE3775">
      <w:pPr>
        <w:rPr>
          <w:rFonts w:asciiTheme="majorHAnsi" w:hAnsiTheme="majorHAnsi"/>
          <w:b/>
          <w:u w:val="single"/>
        </w:rPr>
      </w:pPr>
    </w:p>
    <w:p w:rsidR="00B33A51" w:rsidRDefault="00B33A51" w:rsidP="00AE3775">
      <w:pPr>
        <w:rPr>
          <w:rFonts w:asciiTheme="majorHAnsi" w:hAnsiTheme="majorHAnsi"/>
          <w:b/>
          <w:u w:val="single"/>
        </w:rPr>
      </w:pPr>
    </w:p>
    <w:p w:rsidR="00AE3775" w:rsidRPr="006B3C76" w:rsidRDefault="00AE3775" w:rsidP="00AE3775">
      <w:pPr>
        <w:rPr>
          <w:rFonts w:asciiTheme="majorHAnsi" w:hAnsiTheme="majorHAnsi"/>
          <w:b/>
          <w:u w:val="single"/>
        </w:rPr>
      </w:pPr>
      <w:r w:rsidRPr="006B3C76">
        <w:rPr>
          <w:rFonts w:asciiTheme="majorHAnsi" w:hAnsiTheme="majorHAnsi"/>
          <w:b/>
          <w:u w:val="single"/>
        </w:rPr>
        <w:t>Program Reflections To-Date</w:t>
      </w:r>
    </w:p>
    <w:p w:rsidR="00AE3775" w:rsidRPr="00E92BE8" w:rsidRDefault="00AE3775" w:rsidP="00AE3775">
      <w:pPr>
        <w:rPr>
          <w:rFonts w:asciiTheme="majorHAnsi" w:hAnsiTheme="majorHAnsi"/>
        </w:rPr>
      </w:pPr>
    </w:p>
    <w:p w:rsidR="0035196D" w:rsidRDefault="00AE3775" w:rsidP="0035196D">
      <w:pPr>
        <w:rPr>
          <w:rFonts w:asciiTheme="majorHAnsi" w:hAnsiTheme="majorHAnsi"/>
        </w:rPr>
      </w:pPr>
      <w:r w:rsidRPr="00E92BE8">
        <w:rPr>
          <w:rFonts w:asciiTheme="majorHAnsi" w:hAnsiTheme="majorHAnsi"/>
        </w:rPr>
        <w:t>Overall, the program and set strategies are</w:t>
      </w:r>
      <w:r w:rsidR="0035196D">
        <w:rPr>
          <w:rFonts w:asciiTheme="majorHAnsi" w:hAnsiTheme="majorHAnsi"/>
        </w:rPr>
        <w:t xml:space="preserve"> continuing to progress</w:t>
      </w:r>
      <w:r w:rsidRPr="00E92BE8">
        <w:rPr>
          <w:rFonts w:asciiTheme="majorHAnsi" w:hAnsiTheme="majorHAnsi"/>
        </w:rPr>
        <w:t xml:space="preserve"> as designed.  </w:t>
      </w:r>
      <w:r w:rsidR="0035196D" w:rsidRPr="0035196D">
        <w:rPr>
          <w:rFonts w:asciiTheme="majorHAnsi" w:hAnsiTheme="majorHAnsi"/>
        </w:rPr>
        <w:t xml:space="preserve">The research </w:t>
      </w:r>
      <w:r w:rsidR="0035196D">
        <w:rPr>
          <w:rFonts w:asciiTheme="majorHAnsi" w:hAnsiTheme="majorHAnsi"/>
        </w:rPr>
        <w:t>conducted</w:t>
      </w:r>
      <w:r w:rsidR="0035196D" w:rsidRPr="0035196D">
        <w:rPr>
          <w:rFonts w:asciiTheme="majorHAnsi" w:hAnsiTheme="majorHAnsi"/>
        </w:rPr>
        <w:t xml:space="preserve"> so far</w:t>
      </w:r>
      <w:r w:rsidR="0035196D">
        <w:rPr>
          <w:rFonts w:asciiTheme="majorHAnsi" w:hAnsiTheme="majorHAnsi"/>
        </w:rPr>
        <w:t xml:space="preserve"> </w:t>
      </w:r>
      <w:r w:rsidR="0035196D" w:rsidRPr="0035196D">
        <w:rPr>
          <w:rFonts w:asciiTheme="majorHAnsi" w:hAnsiTheme="majorHAnsi"/>
        </w:rPr>
        <w:t xml:space="preserve">demonstrates the extent to which </w:t>
      </w:r>
      <w:r w:rsidR="0035196D">
        <w:rPr>
          <w:rFonts w:asciiTheme="majorHAnsi" w:hAnsiTheme="majorHAnsi"/>
        </w:rPr>
        <w:t>Asbury Seminary’s</w:t>
      </w:r>
      <w:r w:rsidR="0035196D" w:rsidRPr="0035196D">
        <w:rPr>
          <w:rFonts w:asciiTheme="majorHAnsi" w:hAnsiTheme="majorHAnsi"/>
        </w:rPr>
        <w:t xml:space="preserve"> al</w:t>
      </w:r>
      <w:r w:rsidR="00A62CEE">
        <w:rPr>
          <w:rFonts w:asciiTheme="majorHAnsi" w:hAnsiTheme="majorHAnsi"/>
        </w:rPr>
        <w:t>umni and current student body are</w:t>
      </w:r>
      <w:r w:rsidR="0035196D" w:rsidRPr="0035196D">
        <w:rPr>
          <w:rFonts w:asciiTheme="majorHAnsi" w:hAnsiTheme="majorHAnsi"/>
        </w:rPr>
        <w:t xml:space="preserve"> affected by the problem of financial indebtedness. This information is shaping perspectives and discussi</w:t>
      </w:r>
      <w:r w:rsidR="0035196D">
        <w:rPr>
          <w:rFonts w:asciiTheme="majorHAnsi" w:hAnsiTheme="majorHAnsi"/>
        </w:rPr>
        <w:t>ons surrounding all aspects of S</w:t>
      </w:r>
      <w:r w:rsidR="0035196D" w:rsidRPr="0035196D">
        <w:rPr>
          <w:rFonts w:asciiTheme="majorHAnsi" w:hAnsiTheme="majorHAnsi"/>
        </w:rPr>
        <w:t>eminary life, especially including financial aid, curriculum design, and finan</w:t>
      </w:r>
      <w:bookmarkStart w:id="0" w:name="_GoBack"/>
      <w:bookmarkEnd w:id="0"/>
      <w:r w:rsidR="0035196D" w:rsidRPr="0035196D">
        <w:rPr>
          <w:rFonts w:asciiTheme="majorHAnsi" w:hAnsiTheme="majorHAnsi"/>
        </w:rPr>
        <w:t xml:space="preserve">cial modeling. </w:t>
      </w:r>
    </w:p>
    <w:p w:rsidR="00A73AF5" w:rsidRDefault="00A73AF5" w:rsidP="0035196D">
      <w:pPr>
        <w:rPr>
          <w:rFonts w:asciiTheme="majorHAnsi" w:hAnsiTheme="majorHAnsi"/>
        </w:rPr>
      </w:pPr>
    </w:p>
    <w:p w:rsidR="00B33A51" w:rsidRDefault="00B33A51" w:rsidP="0035196D">
      <w:pPr>
        <w:rPr>
          <w:rFonts w:asciiTheme="majorHAnsi" w:hAnsiTheme="majorHAnsi"/>
        </w:rPr>
      </w:pPr>
    </w:p>
    <w:p w:rsidR="00A73AF5" w:rsidRDefault="00A73AF5" w:rsidP="0035196D">
      <w:pPr>
        <w:rPr>
          <w:rFonts w:asciiTheme="majorHAnsi" w:hAnsiTheme="majorHAnsi"/>
        </w:rPr>
      </w:pPr>
      <w:r w:rsidRPr="00A73AF5">
        <w:rPr>
          <w:rFonts w:asciiTheme="majorHAnsi" w:hAnsiTheme="majorHAnsi"/>
          <w:b/>
          <w:u w:val="single"/>
        </w:rPr>
        <w:t>Program Director</w:t>
      </w:r>
    </w:p>
    <w:p w:rsidR="00A73AF5" w:rsidRDefault="00A73AF5" w:rsidP="0035196D">
      <w:pPr>
        <w:rPr>
          <w:rFonts w:asciiTheme="majorHAnsi" w:hAnsiTheme="majorHAnsi"/>
        </w:rPr>
      </w:pPr>
    </w:p>
    <w:p w:rsidR="00A73AF5" w:rsidRDefault="00B33A51" w:rsidP="0035196D">
      <w:pPr>
        <w:rPr>
          <w:rFonts w:asciiTheme="majorHAnsi" w:hAnsiTheme="majorHAnsi"/>
        </w:rPr>
      </w:pPr>
      <w:r>
        <w:rPr>
          <w:rFonts w:asciiTheme="majorHAnsi" w:hAnsiTheme="majorHAnsi"/>
        </w:rPr>
        <w:t xml:space="preserve">Mr. Kevin </w:t>
      </w:r>
      <w:proofErr w:type="spellStart"/>
      <w:r w:rsidR="00A73AF5">
        <w:rPr>
          <w:rFonts w:asciiTheme="majorHAnsi" w:hAnsiTheme="majorHAnsi"/>
        </w:rPr>
        <w:t>Bish</w:t>
      </w:r>
      <w:proofErr w:type="spellEnd"/>
    </w:p>
    <w:p w:rsidR="00A73AF5" w:rsidRDefault="00A73AF5" w:rsidP="0035196D">
      <w:pPr>
        <w:rPr>
          <w:rFonts w:asciiTheme="majorHAnsi" w:hAnsiTheme="majorHAnsi"/>
        </w:rPr>
      </w:pPr>
      <w:r>
        <w:rPr>
          <w:rFonts w:asciiTheme="majorHAnsi" w:hAnsiTheme="majorHAnsi"/>
        </w:rPr>
        <w:t xml:space="preserve">Vice President for Enrollment Management </w:t>
      </w:r>
    </w:p>
    <w:p w:rsidR="00A73AF5" w:rsidRDefault="00A73AF5" w:rsidP="0035196D">
      <w:pPr>
        <w:rPr>
          <w:rFonts w:asciiTheme="majorHAnsi" w:hAnsiTheme="majorHAnsi"/>
        </w:rPr>
      </w:pPr>
      <w:r>
        <w:rPr>
          <w:rFonts w:asciiTheme="majorHAnsi" w:hAnsiTheme="majorHAnsi"/>
        </w:rPr>
        <w:t>(859)858-</w:t>
      </w:r>
      <w:proofErr w:type="gramStart"/>
      <w:r>
        <w:rPr>
          <w:rFonts w:asciiTheme="majorHAnsi" w:hAnsiTheme="majorHAnsi"/>
        </w:rPr>
        <w:t>2273  |</w:t>
      </w:r>
      <w:proofErr w:type="gramEnd"/>
      <w:r>
        <w:rPr>
          <w:rFonts w:asciiTheme="majorHAnsi" w:hAnsiTheme="majorHAnsi"/>
        </w:rPr>
        <w:t xml:space="preserve">  </w:t>
      </w:r>
      <w:hyperlink r:id="rId5" w:history="1">
        <w:r w:rsidRPr="00C27285">
          <w:rPr>
            <w:rStyle w:val="Hyperlink"/>
            <w:rFonts w:asciiTheme="majorHAnsi" w:hAnsiTheme="majorHAnsi"/>
          </w:rPr>
          <w:t>kevin.bish@asburyseminary.edu</w:t>
        </w:r>
      </w:hyperlink>
    </w:p>
    <w:sectPr w:rsidR="00A73AF5" w:rsidSect="00E92BE8">
      <w:pgSz w:w="12240" w:h="15840"/>
      <w:pgMar w:top="1080" w:right="1152" w:bottom="10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75"/>
    <w:rsid w:val="0006349E"/>
    <w:rsid w:val="000A384C"/>
    <w:rsid w:val="000E4501"/>
    <w:rsid w:val="001F6B75"/>
    <w:rsid w:val="002930D9"/>
    <w:rsid w:val="002A3830"/>
    <w:rsid w:val="002C6824"/>
    <w:rsid w:val="0035196D"/>
    <w:rsid w:val="003671C4"/>
    <w:rsid w:val="003A601A"/>
    <w:rsid w:val="00421DFC"/>
    <w:rsid w:val="00502C41"/>
    <w:rsid w:val="00513231"/>
    <w:rsid w:val="005746CB"/>
    <w:rsid w:val="00631118"/>
    <w:rsid w:val="006B3C76"/>
    <w:rsid w:val="0095534E"/>
    <w:rsid w:val="00990FBF"/>
    <w:rsid w:val="00A62CEE"/>
    <w:rsid w:val="00A73AF5"/>
    <w:rsid w:val="00A747CB"/>
    <w:rsid w:val="00A933E9"/>
    <w:rsid w:val="00AE3775"/>
    <w:rsid w:val="00AF0382"/>
    <w:rsid w:val="00B33A51"/>
    <w:rsid w:val="00BF7507"/>
    <w:rsid w:val="00C577F3"/>
    <w:rsid w:val="00CD1603"/>
    <w:rsid w:val="00DB53DE"/>
    <w:rsid w:val="00E53C85"/>
    <w:rsid w:val="00E92BE8"/>
    <w:rsid w:val="00EC57B0"/>
    <w:rsid w:val="00F64961"/>
    <w:rsid w:val="00FC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3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3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vin.bish@asburysemina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Swoboda</dc:creator>
  <cp:lastModifiedBy>Ashley Swoboda</cp:lastModifiedBy>
  <cp:revision>11</cp:revision>
  <cp:lastPrinted>2014-03-27T14:18:00Z</cp:lastPrinted>
  <dcterms:created xsi:type="dcterms:W3CDTF">2014-03-25T20:44:00Z</dcterms:created>
  <dcterms:modified xsi:type="dcterms:W3CDTF">2014-03-27T15:24:00Z</dcterms:modified>
</cp:coreProperties>
</file>