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3F" w:rsidRDefault="0041703F" w:rsidP="0041703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Addressing Economic Challenges Facing Future Ministers</w:t>
      </w:r>
    </w:p>
    <w:p w:rsidR="0041703F" w:rsidRDefault="0041703F" w:rsidP="0041703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Austin Presbyterian Theological Seminary</w:t>
      </w:r>
    </w:p>
    <w:p w:rsidR="0041703F" w:rsidRDefault="0041703F" w:rsidP="0041703F">
      <w:pPr>
        <w:spacing w:after="0"/>
        <w:jc w:val="center"/>
        <w:rPr>
          <w:rFonts w:ascii="Verdana" w:hAnsi="Verdana"/>
        </w:rPr>
      </w:pPr>
    </w:p>
    <w:p w:rsidR="0041703F" w:rsidRDefault="0041703F" w:rsidP="0041703F">
      <w:pPr>
        <w:pStyle w:val="ListParagraph"/>
        <w:ind w:left="0"/>
        <w:rPr>
          <w:rFonts w:ascii="Verdana" w:hAnsi="Verdana"/>
        </w:rPr>
      </w:pPr>
      <w:r>
        <w:rPr>
          <w:rFonts w:ascii="Verdana" w:hAnsi="Verdana"/>
        </w:rPr>
        <w:tab/>
        <w:t>Through this initiative, Austin Seminary will become a place where students’ financial health is part of their preparation for ministry, and where institutional structures and practices support that goal. This grant enables the Seminary to:</w:t>
      </w:r>
    </w:p>
    <w:p w:rsidR="0041703F" w:rsidRDefault="0041703F" w:rsidP="0041703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Create ways to address the financial situation of students;</w:t>
      </w:r>
    </w:p>
    <w:p w:rsidR="0041703F" w:rsidRDefault="0041703F" w:rsidP="0041703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Explore models for delivering theological education that maintain the core value of residential education but reduce the overall cost of education; and </w:t>
      </w:r>
    </w:p>
    <w:p w:rsidR="0041703F" w:rsidRPr="006D47F7" w:rsidRDefault="0041703F" w:rsidP="0041703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Educate leaders, in the church and beyond,</w:t>
      </w:r>
      <w:r w:rsidR="00640A0C">
        <w:rPr>
          <w:rFonts w:ascii="Verdana" w:hAnsi="Verdana"/>
        </w:rPr>
        <w:t xml:space="preserve"> </w:t>
      </w:r>
      <w:r>
        <w:rPr>
          <w:rFonts w:ascii="Verdana" w:hAnsi="Verdana"/>
        </w:rPr>
        <w:t>about the value of educated clergy.</w:t>
      </w:r>
    </w:p>
    <w:p w:rsidR="0041703F" w:rsidRDefault="0041703F" w:rsidP="0041703F">
      <w:pPr>
        <w:pStyle w:val="ListParagraph"/>
        <w:ind w:left="0"/>
        <w:rPr>
          <w:rFonts w:ascii="Verdana" w:hAnsi="Verdana"/>
        </w:rPr>
      </w:pPr>
      <w:r>
        <w:rPr>
          <w:rFonts w:ascii="Verdana" w:hAnsi="Verdana"/>
        </w:rPr>
        <w:tab/>
      </w:r>
    </w:p>
    <w:p w:rsidR="0041703F" w:rsidRDefault="0041703F" w:rsidP="0041703F">
      <w:pPr>
        <w:pStyle w:val="ListParagraph"/>
        <w:ind w:left="0"/>
        <w:rPr>
          <w:rFonts w:ascii="Verdana" w:hAnsi="Verdana"/>
        </w:rPr>
      </w:pPr>
      <w:r w:rsidRPr="006D47F7">
        <w:rPr>
          <w:rFonts w:ascii="Verdana" w:hAnsi="Verdana"/>
          <w:u w:val="single"/>
        </w:rPr>
        <w:t>Address</w:t>
      </w:r>
      <w:r>
        <w:rPr>
          <w:rFonts w:ascii="Verdana" w:hAnsi="Verdana"/>
          <w:u w:val="single"/>
        </w:rPr>
        <w:t>ing</w:t>
      </w:r>
      <w:r w:rsidRPr="006D47F7">
        <w:rPr>
          <w:rFonts w:ascii="Verdana" w:hAnsi="Verdana"/>
          <w:u w:val="single"/>
        </w:rPr>
        <w:t xml:space="preserve"> the financial situation of students</w:t>
      </w:r>
      <w:r>
        <w:rPr>
          <w:rFonts w:ascii="Verdana" w:hAnsi="Verdana"/>
        </w:rPr>
        <w:t xml:space="preserve"> </w:t>
      </w:r>
    </w:p>
    <w:p w:rsidR="0041703F" w:rsidRDefault="0041703F" w:rsidP="0041703F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Additional data gathering. We will create focus groups to learn more about students’ mindsets and</w:t>
      </w:r>
      <w:r w:rsidR="00640A0C">
        <w:rPr>
          <w:rFonts w:ascii="Verdana" w:hAnsi="Verdana"/>
        </w:rPr>
        <w:t xml:space="preserve"> </w:t>
      </w:r>
      <w:r>
        <w:rPr>
          <w:rFonts w:ascii="Verdana" w:hAnsi="Verdana"/>
        </w:rPr>
        <w:t>collect</w:t>
      </w:r>
      <w:r w:rsidR="00640A0C">
        <w:rPr>
          <w:rFonts w:ascii="Verdana" w:hAnsi="Verdana"/>
        </w:rPr>
        <w:t xml:space="preserve"> </w:t>
      </w:r>
      <w:r>
        <w:rPr>
          <w:rFonts w:ascii="Verdana" w:hAnsi="Verdana"/>
        </w:rPr>
        <w:t>consumer debt data.</w:t>
      </w:r>
    </w:p>
    <w:p w:rsidR="0041703F" w:rsidRPr="00860FF8" w:rsidRDefault="0041703F" w:rsidP="0041703F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47407">
        <w:rPr>
          <w:rFonts w:ascii="Verdana" w:hAnsi="Verdana"/>
          <w:i/>
        </w:rPr>
        <w:t>Ministers Facing Money</w:t>
      </w:r>
      <w:r>
        <w:rPr>
          <w:rFonts w:ascii="Verdana" w:hAnsi="Verdana"/>
        </w:rPr>
        <w:t>.</w:t>
      </w:r>
      <w:r w:rsidRPr="00860FF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We will establish </w:t>
      </w:r>
      <w:r w:rsidRPr="00860FF8">
        <w:rPr>
          <w:rFonts w:ascii="Verdana" w:hAnsi="Verdana"/>
        </w:rPr>
        <w:t xml:space="preserve">peer communities of accountability and practice, </w:t>
      </w:r>
      <w:r>
        <w:rPr>
          <w:rFonts w:ascii="Verdana" w:hAnsi="Verdana"/>
        </w:rPr>
        <w:t xml:space="preserve">and offer </w:t>
      </w:r>
      <w:r w:rsidRPr="00860FF8">
        <w:rPr>
          <w:rFonts w:ascii="Verdana" w:hAnsi="Verdana"/>
        </w:rPr>
        <w:t xml:space="preserve">retreats, programming (including Financial Peace University), </w:t>
      </w:r>
      <w:r>
        <w:rPr>
          <w:rFonts w:ascii="Verdana" w:hAnsi="Verdana"/>
        </w:rPr>
        <w:t xml:space="preserve">and opportunities for </w:t>
      </w:r>
      <w:r w:rsidRPr="00860FF8">
        <w:rPr>
          <w:rFonts w:ascii="Verdana" w:hAnsi="Verdana"/>
        </w:rPr>
        <w:t xml:space="preserve">public </w:t>
      </w:r>
      <w:r>
        <w:rPr>
          <w:rFonts w:ascii="Verdana" w:hAnsi="Verdana"/>
        </w:rPr>
        <w:t>discussions</w:t>
      </w:r>
      <w:r w:rsidRPr="00860FF8">
        <w:rPr>
          <w:rFonts w:ascii="Verdana" w:hAnsi="Verdana"/>
        </w:rPr>
        <w:t xml:space="preserve"> about money </w:t>
      </w:r>
      <w:r>
        <w:rPr>
          <w:rFonts w:ascii="Verdana" w:hAnsi="Verdana"/>
        </w:rPr>
        <w:t xml:space="preserve">in order </w:t>
      </w:r>
      <w:r w:rsidRPr="00860FF8">
        <w:rPr>
          <w:rFonts w:ascii="Verdana" w:hAnsi="Verdana"/>
        </w:rPr>
        <w:t xml:space="preserve">to </w:t>
      </w:r>
      <w:r>
        <w:rPr>
          <w:rFonts w:ascii="Verdana" w:hAnsi="Verdana"/>
        </w:rPr>
        <w:t xml:space="preserve">change </w:t>
      </w:r>
      <w:r w:rsidRPr="00860FF8">
        <w:rPr>
          <w:rFonts w:ascii="Verdana" w:hAnsi="Verdana"/>
        </w:rPr>
        <w:t xml:space="preserve">the </w:t>
      </w:r>
      <w:r>
        <w:rPr>
          <w:rFonts w:ascii="Verdana" w:hAnsi="Verdana"/>
        </w:rPr>
        <w:t>“</w:t>
      </w:r>
      <w:r w:rsidRPr="00860FF8">
        <w:rPr>
          <w:rFonts w:ascii="Verdana" w:hAnsi="Verdana"/>
        </w:rPr>
        <w:t>culture</w:t>
      </w:r>
      <w:r>
        <w:rPr>
          <w:rFonts w:ascii="Verdana" w:hAnsi="Verdana"/>
        </w:rPr>
        <w:t xml:space="preserve"> of money” in these students’ lives. This program will be staffed by a ½ time new employee.</w:t>
      </w:r>
    </w:p>
    <w:p w:rsidR="0041703F" w:rsidRPr="00860FF8" w:rsidRDefault="0041703F" w:rsidP="0041703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860FF8">
        <w:rPr>
          <w:rFonts w:ascii="Verdana" w:hAnsi="Verdana"/>
        </w:rPr>
        <w:t>Financial Plans</w:t>
      </w:r>
      <w:r>
        <w:rPr>
          <w:rFonts w:ascii="Verdana" w:hAnsi="Verdana"/>
        </w:rPr>
        <w:t>.</w:t>
      </w:r>
      <w:r w:rsidRPr="00860FF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Students will </w:t>
      </w:r>
      <w:r w:rsidRPr="00860FF8">
        <w:rPr>
          <w:rFonts w:ascii="Verdana" w:hAnsi="Verdana"/>
        </w:rPr>
        <w:t xml:space="preserve">create </w:t>
      </w:r>
      <w:r>
        <w:rPr>
          <w:rFonts w:ascii="Verdana" w:hAnsi="Verdana"/>
        </w:rPr>
        <w:t>a financial plan</w:t>
      </w:r>
      <w:r w:rsidRPr="00860FF8">
        <w:rPr>
          <w:rFonts w:ascii="Verdana" w:hAnsi="Verdana"/>
        </w:rPr>
        <w:t xml:space="preserve"> at matriculation </w:t>
      </w:r>
      <w:r>
        <w:rPr>
          <w:rFonts w:ascii="Verdana" w:hAnsi="Verdana"/>
        </w:rPr>
        <w:t>and will consult</w:t>
      </w:r>
      <w:r w:rsidRPr="00860FF8">
        <w:rPr>
          <w:rFonts w:ascii="Verdana" w:hAnsi="Verdana"/>
        </w:rPr>
        <w:t xml:space="preserve"> annual</w:t>
      </w:r>
      <w:r>
        <w:rPr>
          <w:rFonts w:ascii="Verdana" w:hAnsi="Verdana"/>
        </w:rPr>
        <w:t>ly with a staff person to strengthen</w:t>
      </w:r>
      <w:r w:rsidRPr="00860FF8">
        <w:rPr>
          <w:rFonts w:ascii="Verdana" w:hAnsi="Verdana"/>
        </w:rPr>
        <w:t xml:space="preserve"> accountability</w:t>
      </w:r>
      <w:r>
        <w:rPr>
          <w:rFonts w:ascii="Verdana" w:hAnsi="Verdana"/>
        </w:rPr>
        <w:t>.</w:t>
      </w:r>
    </w:p>
    <w:p w:rsidR="0041703F" w:rsidRDefault="0041703F" w:rsidP="0041703F">
      <w:pPr>
        <w:pStyle w:val="ListParagraph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FinAids</w:t>
      </w:r>
      <w:proofErr w:type="spellEnd"/>
      <w:r>
        <w:rPr>
          <w:rFonts w:ascii="Verdana" w:hAnsi="Verdana"/>
        </w:rPr>
        <w:t>. We have purchased financial aid software to free up staff time for conducting research and coaching students on how apply for all available support.</w:t>
      </w:r>
    </w:p>
    <w:p w:rsidR="0041703F" w:rsidRDefault="0041703F" w:rsidP="0041703F">
      <w:pPr>
        <w:pStyle w:val="ListParagraph"/>
        <w:rPr>
          <w:rFonts w:ascii="Verdana" w:hAnsi="Verdana"/>
        </w:rPr>
      </w:pPr>
    </w:p>
    <w:p w:rsidR="0041703F" w:rsidRDefault="0041703F" w:rsidP="0041703F">
      <w:pPr>
        <w:pStyle w:val="ListParagraph"/>
        <w:ind w:left="0"/>
        <w:rPr>
          <w:rFonts w:ascii="Verdana" w:hAnsi="Verdana"/>
        </w:rPr>
      </w:pPr>
      <w:r>
        <w:rPr>
          <w:rFonts w:ascii="Verdana" w:hAnsi="Verdana"/>
          <w:u w:val="single"/>
        </w:rPr>
        <w:t>Exploring Alternative Models</w:t>
      </w:r>
    </w:p>
    <w:p w:rsidR="0041703F" w:rsidRDefault="0041703F" w:rsidP="0041703F">
      <w:pPr>
        <w:pStyle w:val="ListParagraph"/>
        <w:ind w:left="0"/>
        <w:rPr>
          <w:rFonts w:ascii="Verdana" w:hAnsi="Verdana"/>
        </w:rPr>
      </w:pPr>
      <w:r>
        <w:rPr>
          <w:rFonts w:ascii="Verdana" w:hAnsi="Verdana"/>
        </w:rPr>
        <w:t>The Dean will lead this effort to investigate</w:t>
      </w:r>
      <w:r w:rsidRPr="00860FF8">
        <w:rPr>
          <w:rFonts w:ascii="Verdana" w:hAnsi="Verdana"/>
        </w:rPr>
        <w:t xml:space="preserve"> </w:t>
      </w:r>
      <w:r>
        <w:rPr>
          <w:rFonts w:ascii="Verdana" w:hAnsi="Verdana"/>
        </w:rPr>
        <w:t>educational models in which:</w:t>
      </w:r>
    </w:p>
    <w:p w:rsidR="0041703F" w:rsidRDefault="0041703F" w:rsidP="0041703F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Students enroll in APTS with advanced standing, having completed a measure of master’s-level courses during their undergraduate studies.</w:t>
      </w:r>
    </w:p>
    <w:p w:rsidR="0041703F" w:rsidRDefault="0041703F" w:rsidP="0041703F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Congregations and institutions partner with APTS and students for cooperative learning and work.</w:t>
      </w:r>
    </w:p>
    <w:p w:rsidR="0041703F" w:rsidRDefault="0041703F" w:rsidP="0041703F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Students participate in the operation of the institution in budget-relieving functions.</w:t>
      </w:r>
    </w:p>
    <w:p w:rsidR="0041703F" w:rsidRDefault="0041703F" w:rsidP="0041703F">
      <w:pPr>
        <w:pStyle w:val="ListParagraph"/>
        <w:ind w:left="0"/>
        <w:rPr>
          <w:rFonts w:ascii="Verdana" w:hAnsi="Verdana"/>
        </w:rPr>
      </w:pPr>
    </w:p>
    <w:p w:rsidR="0041703F" w:rsidRDefault="0041703F" w:rsidP="0041703F">
      <w:pPr>
        <w:pStyle w:val="ListParagraph"/>
        <w:ind w:left="0"/>
        <w:rPr>
          <w:rFonts w:ascii="Verdana" w:hAnsi="Verdana"/>
        </w:rPr>
      </w:pPr>
      <w:r>
        <w:rPr>
          <w:rFonts w:ascii="Verdana" w:hAnsi="Verdana"/>
          <w:u w:val="single"/>
        </w:rPr>
        <w:t>Educating Leaders</w:t>
      </w:r>
    </w:p>
    <w:p w:rsidR="0041703F" w:rsidRPr="00F47407" w:rsidRDefault="0041703F" w:rsidP="00640A0C">
      <w:pPr>
        <w:pStyle w:val="ListParagraph"/>
        <w:ind w:left="0"/>
        <w:rPr>
          <w:rFonts w:ascii="Verdana" w:hAnsi="Verdana"/>
        </w:rPr>
      </w:pPr>
      <w:r>
        <w:rPr>
          <w:rFonts w:ascii="Verdana" w:hAnsi="Verdana"/>
        </w:rPr>
        <w:t>The President will convene a colloquy of racially and denominationally diverse leaders from church bodies, business, healthcare, and other civic arenas to</w:t>
      </w:r>
      <w:r w:rsidR="00640A0C">
        <w:rPr>
          <w:rFonts w:ascii="Verdana" w:hAnsi="Verdana"/>
        </w:rPr>
        <w:t xml:space="preserve"> experience the</w:t>
      </w:r>
      <w:r>
        <w:rPr>
          <w:rFonts w:ascii="Verdana" w:hAnsi="Verdana"/>
        </w:rPr>
        <w:t xml:space="preserve"> value of </w:t>
      </w:r>
      <w:r w:rsidR="00640A0C">
        <w:rPr>
          <w:rFonts w:ascii="Verdana" w:hAnsi="Verdana"/>
        </w:rPr>
        <w:t xml:space="preserve">theological education by engaging salient issues with Seminary faculty in a community of peer leaders. </w:t>
      </w:r>
      <w:bookmarkStart w:id="0" w:name="_GoBack"/>
      <w:bookmarkEnd w:id="0"/>
    </w:p>
    <w:sectPr w:rsidR="0041703F" w:rsidRPr="00F4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41D"/>
    <w:multiLevelType w:val="hybridMultilevel"/>
    <w:tmpl w:val="D73C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57937"/>
    <w:multiLevelType w:val="hybridMultilevel"/>
    <w:tmpl w:val="6ED4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25334"/>
    <w:multiLevelType w:val="hybridMultilevel"/>
    <w:tmpl w:val="9492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674B6"/>
    <w:multiLevelType w:val="hybridMultilevel"/>
    <w:tmpl w:val="9A204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668DA"/>
    <w:multiLevelType w:val="hybridMultilevel"/>
    <w:tmpl w:val="4F9E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3F"/>
    <w:rsid w:val="0041703F"/>
    <w:rsid w:val="00640A0C"/>
    <w:rsid w:val="009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Presbyterian Theological Seminary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Wiginton</dc:creator>
  <cp:lastModifiedBy>Melissa Wiginton</cp:lastModifiedBy>
  <cp:revision>2</cp:revision>
  <dcterms:created xsi:type="dcterms:W3CDTF">2014-04-04T16:03:00Z</dcterms:created>
  <dcterms:modified xsi:type="dcterms:W3CDTF">2014-04-04T16:07:00Z</dcterms:modified>
</cp:coreProperties>
</file>