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41" w:rsidRDefault="009B7641" w:rsidP="009B7641">
      <w:pPr>
        <w:jc w:val="center"/>
        <w:rPr>
          <w:rFonts w:ascii="Calibri" w:eastAsia="Times New Roman" w:hAnsi="Calibri"/>
          <w:color w:val="000000"/>
          <w:sz w:val="21"/>
          <w:szCs w:val="21"/>
        </w:rPr>
      </w:pPr>
      <w:r>
        <w:rPr>
          <w:rFonts w:ascii="Calibri" w:eastAsia="Times New Roman" w:hAnsi="Calibri"/>
          <w:color w:val="000000"/>
          <w:sz w:val="21"/>
          <w:szCs w:val="21"/>
        </w:rPr>
        <w:t>Yale Divinity School</w:t>
      </w:r>
    </w:p>
    <w:p w:rsidR="009B7641" w:rsidRDefault="009B7641" w:rsidP="009B7641">
      <w:pPr>
        <w:rPr>
          <w:rFonts w:ascii="Calibri" w:eastAsia="Times New Roman" w:hAnsi="Calibri"/>
          <w:color w:val="000000"/>
          <w:sz w:val="21"/>
          <w:szCs w:val="21"/>
        </w:rPr>
      </w:pP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Name and Objectives</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When Gold Does Not Rule: Reducing Student Indebtedness (we did not give Lilly a formal name)</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1.</w:t>
      </w:r>
      <w:r>
        <w:rPr>
          <w:rStyle w:val="apple-tab-span"/>
          <w:rFonts w:ascii="Calibri" w:eastAsia="Times New Roman" w:hAnsi="Calibri"/>
          <w:color w:val="000000"/>
          <w:sz w:val="21"/>
          <w:szCs w:val="21"/>
        </w:rPr>
        <w:t xml:space="preserve"> </w:t>
      </w:r>
      <w:r>
        <w:rPr>
          <w:rFonts w:ascii="Calibri" w:eastAsia="Times New Roman" w:hAnsi="Calibri"/>
          <w:color w:val="000000"/>
          <w:sz w:val="21"/>
          <w:szCs w:val="21"/>
        </w:rPr>
        <w:t>A survey of our students' total indebtedness. We know their federal loan indebtedness, but not their consumer indebtedness.</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2.</w:t>
      </w:r>
      <w:r>
        <w:rPr>
          <w:rStyle w:val="apple-tab-span"/>
          <w:rFonts w:ascii="Calibri" w:eastAsia="Times New Roman" w:hAnsi="Calibri"/>
          <w:color w:val="000000"/>
          <w:sz w:val="21"/>
          <w:szCs w:val="21"/>
        </w:rPr>
        <w:t xml:space="preserve"> </w:t>
      </w:r>
      <w:r>
        <w:rPr>
          <w:rFonts w:ascii="Calibri" w:eastAsia="Times New Roman" w:hAnsi="Calibri"/>
          <w:color w:val="000000"/>
          <w:sz w:val="21"/>
          <w:szCs w:val="21"/>
        </w:rPr>
        <w:t>Enhance financial counseling services among our current staff</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3.</w:t>
      </w:r>
      <w:r>
        <w:rPr>
          <w:rStyle w:val="apple-tab-span"/>
          <w:rFonts w:ascii="Calibri" w:eastAsia="Times New Roman" w:hAnsi="Calibri"/>
          <w:color w:val="000000"/>
          <w:sz w:val="21"/>
          <w:szCs w:val="21"/>
        </w:rPr>
        <w:t xml:space="preserve"> </w:t>
      </w:r>
      <w:r>
        <w:rPr>
          <w:rFonts w:ascii="Calibri" w:eastAsia="Times New Roman" w:hAnsi="Calibri"/>
          <w:color w:val="000000"/>
          <w:sz w:val="21"/>
          <w:szCs w:val="21"/>
        </w:rPr>
        <w:t>Develop online materials for responsible financial management from theological and practical perspectives</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4.</w:t>
      </w:r>
      <w:r>
        <w:rPr>
          <w:rStyle w:val="apple-tab-span"/>
          <w:rFonts w:ascii="Calibri" w:eastAsia="Times New Roman" w:hAnsi="Calibri"/>
          <w:color w:val="000000"/>
          <w:sz w:val="21"/>
          <w:szCs w:val="21"/>
        </w:rPr>
        <w:t xml:space="preserve"> </w:t>
      </w:r>
      <w:r>
        <w:rPr>
          <w:rFonts w:ascii="Calibri" w:eastAsia="Times New Roman" w:hAnsi="Calibri"/>
          <w:color w:val="000000"/>
          <w:sz w:val="21"/>
          <w:szCs w:val="21"/>
        </w:rPr>
        <w:t>Develop a course on faith, money, and theology</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5.</w:t>
      </w:r>
      <w:r>
        <w:rPr>
          <w:rStyle w:val="apple-tab-span"/>
          <w:rFonts w:ascii="Calibri" w:eastAsia="Times New Roman" w:hAnsi="Calibri"/>
          <w:color w:val="000000"/>
          <w:sz w:val="21"/>
          <w:szCs w:val="21"/>
        </w:rPr>
        <w:t xml:space="preserve"> </w:t>
      </w:r>
      <w:r>
        <w:rPr>
          <w:rFonts w:ascii="Calibri" w:eastAsia="Times New Roman" w:hAnsi="Calibri"/>
          <w:color w:val="000000"/>
          <w:sz w:val="21"/>
          <w:szCs w:val="21"/>
        </w:rPr>
        <w:t>Cultivate partnerships with groups that can assist in providing financial aid</w:t>
      </w:r>
    </w:p>
    <w:p w:rsidR="009B7641" w:rsidRDefault="009B7641" w:rsidP="009B7641">
      <w:pPr>
        <w:rPr>
          <w:rFonts w:ascii="Calibri" w:eastAsia="Times New Roman" w:hAnsi="Calibri"/>
          <w:color w:val="000000"/>
          <w:sz w:val="21"/>
          <w:szCs w:val="21"/>
        </w:rPr>
      </w:pP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Activities to Date</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We have sought approval from Yale's Institutional Review Board for conducting our survey. We cannot receive the funds until this approval has been granted. In the meantime, we have made preliminary arrangements to conduct the survey once the approval is in place, to hire an expert to assist with the development of an online handbook, and to organize our alumni board and our advisory council to form a task force to assist us with the cultivation of partners.</w:t>
      </w:r>
    </w:p>
    <w:p w:rsidR="009B7641" w:rsidRDefault="009B7641" w:rsidP="009B7641">
      <w:pPr>
        <w:rPr>
          <w:rFonts w:ascii="Calibri" w:eastAsia="Times New Roman" w:hAnsi="Calibri"/>
          <w:color w:val="000000"/>
          <w:sz w:val="21"/>
          <w:szCs w:val="21"/>
        </w:rPr>
      </w:pP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Important Resources</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The most important resource that we have discovered to date is the material prepared</w:t>
      </w:r>
      <w:r w:rsidR="001E0DD8">
        <w:rPr>
          <w:rFonts w:ascii="Calibri" w:eastAsia="Times New Roman" w:hAnsi="Calibri"/>
          <w:color w:val="000000"/>
          <w:sz w:val="21"/>
          <w:szCs w:val="21"/>
        </w:rPr>
        <w:t xml:space="preserve"> by Anthony </w:t>
      </w:r>
      <w:proofErr w:type="spellStart"/>
      <w:r w:rsidR="001E0DD8">
        <w:rPr>
          <w:rFonts w:ascii="Calibri" w:eastAsia="Times New Roman" w:hAnsi="Calibri"/>
          <w:color w:val="000000"/>
          <w:sz w:val="21"/>
          <w:szCs w:val="21"/>
        </w:rPr>
        <w:t>Ruger</w:t>
      </w:r>
      <w:proofErr w:type="spellEnd"/>
      <w:r w:rsidR="001E0DD8">
        <w:rPr>
          <w:rFonts w:ascii="Calibri" w:eastAsia="Times New Roman" w:hAnsi="Calibri"/>
          <w:color w:val="000000"/>
          <w:sz w:val="21"/>
          <w:szCs w:val="21"/>
        </w:rPr>
        <w:t xml:space="preserve"> and Chris Mein</w:t>
      </w:r>
      <w:r>
        <w:rPr>
          <w:rFonts w:ascii="Calibri" w:eastAsia="Times New Roman" w:hAnsi="Calibri"/>
          <w:color w:val="000000"/>
          <w:sz w:val="21"/>
          <w:szCs w:val="21"/>
        </w:rPr>
        <w:t>zer for the Student Debt Workshop at the ATS Presidential Leadership Intensive Conference.</w:t>
      </w:r>
    </w:p>
    <w:p w:rsidR="009B7641" w:rsidRDefault="009B7641" w:rsidP="009B7641">
      <w:pPr>
        <w:rPr>
          <w:rFonts w:ascii="Calibri" w:eastAsia="Times New Roman" w:hAnsi="Calibri"/>
          <w:color w:val="000000"/>
          <w:sz w:val="21"/>
          <w:szCs w:val="21"/>
        </w:rPr>
      </w:pPr>
      <w:bookmarkStart w:id="0" w:name="_GoBack"/>
      <w:bookmarkEnd w:id="0"/>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Contact Information</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Gregory E. Sterling</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The Reverend Henry L. Slack Dean</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The Lillian Claus Professor of New Testament</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Yale Divinity School</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409 Prospect Street</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New Haven, CT  06511</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203-432-5306 O</w:t>
      </w:r>
    </w:p>
    <w:p w:rsidR="009B7641" w:rsidRDefault="009B7641" w:rsidP="009B7641">
      <w:pPr>
        <w:rPr>
          <w:rFonts w:ascii="Calibri" w:eastAsia="Times New Roman" w:hAnsi="Calibri"/>
          <w:color w:val="000000"/>
          <w:sz w:val="21"/>
          <w:szCs w:val="21"/>
        </w:rPr>
      </w:pPr>
      <w:r>
        <w:rPr>
          <w:rFonts w:ascii="Calibri" w:eastAsia="Times New Roman" w:hAnsi="Calibri"/>
          <w:color w:val="000000"/>
          <w:sz w:val="21"/>
          <w:szCs w:val="21"/>
        </w:rPr>
        <w:t>203-432-9712 F</w:t>
      </w:r>
    </w:p>
    <w:p w:rsidR="009B7641" w:rsidRDefault="009B7641" w:rsidP="009B7641">
      <w:pPr>
        <w:rPr>
          <w:rFonts w:ascii="Calibri" w:eastAsia="Times New Roman" w:hAnsi="Calibri"/>
          <w:color w:val="000000"/>
          <w:sz w:val="21"/>
          <w:szCs w:val="21"/>
        </w:rPr>
      </w:pPr>
    </w:p>
    <w:p w:rsidR="00DB7269" w:rsidRDefault="00DB7269"/>
    <w:sectPr w:rsidR="00DB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41"/>
    <w:rsid w:val="001E0DD8"/>
    <w:rsid w:val="009B7641"/>
    <w:rsid w:val="00DB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9B7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9B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Wright</dc:creator>
  <cp:lastModifiedBy>Leah Wright</cp:lastModifiedBy>
  <cp:revision>2</cp:revision>
  <dcterms:created xsi:type="dcterms:W3CDTF">2014-03-18T19:40:00Z</dcterms:created>
  <dcterms:modified xsi:type="dcterms:W3CDTF">2014-03-18T19:41:00Z</dcterms:modified>
</cp:coreProperties>
</file>